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B93245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93245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B93245" w:rsidRDefault="00B93245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</w:t>
      </w:r>
      <w:r w:rsidR="002E205F" w:rsidRPr="00B9324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2E205F" w:rsidRPr="00B9324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 15</w:t>
      </w:r>
    </w:p>
    <w:p w:rsidR="002E205F" w:rsidRPr="008C7B2E" w:rsidRDefault="00B93245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B93245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B93245" w:rsidRPr="00B93245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="00B93245">
        <w:rPr>
          <w:rFonts w:ascii="Times New Roman" w:hAnsi="Times New Roman"/>
          <w:sz w:val="28"/>
          <w:szCs w:val="28"/>
        </w:rPr>
        <w:t xml:space="preserve">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93245">
        <w:rPr>
          <w:rFonts w:ascii="Times New Roman" w:hAnsi="Times New Roman" w:cs="Times New Roman"/>
          <w:b w:val="0"/>
          <w:sz w:val="28"/>
          <w:szCs w:val="28"/>
        </w:rPr>
        <w:t>17.12.2024 года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93245">
        <w:rPr>
          <w:rFonts w:ascii="Times New Roman" w:hAnsi="Times New Roman" w:cs="Times New Roman"/>
          <w:b w:val="0"/>
          <w:sz w:val="28"/>
          <w:szCs w:val="28"/>
        </w:rPr>
        <w:t xml:space="preserve">81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0F0E0E" w:rsidRPr="000F0E0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B93245" w:rsidRPr="00B93245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="00B93245">
        <w:rPr>
          <w:rFonts w:ascii="Times New Roman" w:hAnsi="Times New Roman"/>
          <w:sz w:val="28"/>
          <w:szCs w:val="28"/>
        </w:rPr>
        <w:t xml:space="preserve"> </w:t>
      </w:r>
      <w:r w:rsidR="000F0E0E" w:rsidRPr="000F0E0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Pr="004F312E" w:rsidRDefault="000F0E0E" w:rsidP="00B9324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B93245">
        <w:rPr>
          <w:rFonts w:ascii="Times New Roman" w:hAnsi="Times New Roman"/>
          <w:sz w:val="28"/>
          <w:szCs w:val="28"/>
        </w:rPr>
        <w:t xml:space="preserve">Александровского 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B93245">
        <w:rPr>
          <w:rFonts w:ascii="Times New Roman" w:hAnsi="Times New Roman"/>
          <w:sz w:val="28"/>
          <w:szCs w:val="28"/>
        </w:rPr>
        <w:t xml:space="preserve">  </w:t>
      </w:r>
      <w:r w:rsidR="004F312E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4F312E"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5360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за соблюдением правил благоустройства на территории </w:t>
      </w:r>
      <w:r w:rsidR="00B93245">
        <w:t xml:space="preserve">Александровского 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B93245">
        <w:t xml:space="preserve">Александровского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B93245">
        <w:rPr>
          <w:lang w:eastAsia="ru-RU"/>
        </w:rPr>
        <w:t>17.12.</w:t>
      </w:r>
      <w:r w:rsidR="009140FE" w:rsidRPr="009140FE">
        <w:rPr>
          <w:lang w:eastAsia="ru-RU"/>
        </w:rPr>
        <w:t>2024</w:t>
      </w:r>
      <w:r w:rsidR="00B93245">
        <w:rPr>
          <w:lang w:eastAsia="ru-RU"/>
        </w:rPr>
        <w:t xml:space="preserve"> года</w:t>
      </w:r>
      <w:r w:rsidR="0027752D" w:rsidRPr="009140FE">
        <w:rPr>
          <w:lang w:eastAsia="ru-RU"/>
        </w:rPr>
        <w:t xml:space="preserve"> №</w:t>
      </w:r>
      <w:r w:rsidR="00B93245">
        <w:rPr>
          <w:lang w:eastAsia="ru-RU"/>
        </w:rPr>
        <w:t xml:space="preserve"> 81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7B7A0B" w:rsidRP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1.4.пункта 1 изложить в следующей редакции:</w:t>
      </w:r>
    </w:p>
    <w:p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050DD3" w:rsidRPr="00050DD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соблюдение правил благоустройства территории </w:t>
      </w:r>
      <w:r w:rsidR="00B93245">
        <w:rPr>
          <w:rFonts w:ascii="Times New Roman" w:hAnsi="Times New Roman"/>
          <w:sz w:val="28"/>
          <w:szCs w:val="28"/>
        </w:rPr>
        <w:t xml:space="preserve">Александровского 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</w:t>
      </w:r>
      <w:r w:rsidRPr="00050DD3">
        <w:rPr>
          <w:rFonts w:ascii="Times New Roman" w:hAnsi="Times New Roman" w:cs="Times New Roman"/>
          <w:sz w:val="28"/>
          <w:szCs w:val="28"/>
        </w:rPr>
        <w:lastRenderedPageBreak/>
        <w:t xml:space="preserve">области, утвержденных решением Совета народных депутатов </w:t>
      </w:r>
      <w:r w:rsidR="00B93245">
        <w:rPr>
          <w:rFonts w:ascii="Times New Roman" w:hAnsi="Times New Roman"/>
          <w:sz w:val="28"/>
          <w:szCs w:val="28"/>
        </w:rPr>
        <w:t>Александровского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B93245">
        <w:rPr>
          <w:rFonts w:ascii="Times New Roman" w:hAnsi="Times New Roman" w:cs="Times New Roman"/>
          <w:sz w:val="28"/>
          <w:szCs w:val="28"/>
        </w:rPr>
        <w:t xml:space="preserve">18.11.2021 года № 101 </w:t>
      </w:r>
      <w:r w:rsidRPr="00B93245">
        <w:rPr>
          <w:rFonts w:ascii="Times New Roman" w:hAnsi="Times New Roman" w:cs="Times New Roman"/>
          <w:sz w:val="28"/>
          <w:szCs w:val="28"/>
        </w:rPr>
        <w:t>-</w:t>
      </w:r>
      <w:r w:rsidRPr="00050DD3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в соответствии с Правилами благоустройства;</w:t>
      </w:r>
    </w:p>
    <w:p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7B7A0B" w:rsidRP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1.5.пункта 1 изложить в следующей редакции:</w:t>
      </w:r>
    </w:p>
    <w:p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050DD3" w:rsidRPr="00050DD3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территории </w:t>
      </w:r>
      <w:r w:rsidR="00B93245">
        <w:rPr>
          <w:rFonts w:ascii="Times New Roman" w:hAnsi="Times New Roman"/>
          <w:sz w:val="28"/>
          <w:szCs w:val="28"/>
        </w:rPr>
        <w:t>Александровского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</w:t>
      </w:r>
      <w:r w:rsidR="00B93245">
        <w:rPr>
          <w:rFonts w:ascii="Times New Roman" w:hAnsi="Times New Roman"/>
          <w:sz w:val="28"/>
          <w:szCs w:val="28"/>
        </w:rPr>
        <w:t>Александровского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в том числе предъявляемые к контролируемым лицам, осуществляющим деятельность, действия (бездействие);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В соответствии с Правилами благоустройства объектами благоустройства являются: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B93245">
        <w:rPr>
          <w:rFonts w:ascii="Times New Roman" w:hAnsi="Times New Roman"/>
          <w:sz w:val="28"/>
          <w:szCs w:val="28"/>
        </w:rPr>
        <w:t>Александровского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с расположенными на ней объектами, элементами благоустройства;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объекты освещения и иное осветительное оборудование;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знаково-информационные системы;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lastRenderedPageBreak/>
        <w:t>- пешеходные коммуникации, в том числе тротуары, аллеи, дорожки, тропинки;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уборка территории, в том числе в зимний период;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проведение земляных работ;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содержание прилегающих территорий;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некапитальные объекты, в том числе сезонные торговые;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инженерные коммуникации и сооружения;</w:t>
      </w:r>
    </w:p>
    <w:p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7B7A0B" w:rsidRDefault="00536034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07D1" w:rsidRPr="00232685" w:rsidRDefault="00536034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:rsidR="007731D5" w:rsidRDefault="00536034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536034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93245" w:rsidRDefault="00B9324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B9324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B93245" w:rsidRDefault="00B93245" w:rsidP="00B93245">
      <w:pPr>
        <w:ind w:firstLine="0"/>
        <w:rPr>
          <w:rFonts w:ascii="Times New Roman" w:hAnsi="Times New Roman"/>
        </w:rPr>
      </w:pPr>
    </w:p>
    <w:p w:rsidR="00B93245" w:rsidRDefault="00B93245" w:rsidP="00B93245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</w:t>
      </w:r>
      <w:r w:rsidR="00050DD3" w:rsidRPr="00B9324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050DD3" w:rsidRPr="00B9324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24269B" w:rsidRPr="00B93245" w:rsidRDefault="00B93245" w:rsidP="00B93245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50DD3" w:rsidRPr="00B93245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</w:t>
      </w:r>
      <w:r w:rsidRPr="00B93245">
        <w:rPr>
          <w:rFonts w:ascii="Times New Roman" w:hAnsi="Times New Roman"/>
        </w:rPr>
        <w:t xml:space="preserve">Александровского </w:t>
      </w:r>
      <w:r w:rsidR="00050DD3" w:rsidRPr="00B93245">
        <w:rPr>
          <w:rFonts w:ascii="Times New Roman" w:hAnsi="Times New Roman"/>
        </w:rPr>
        <w:t xml:space="preserve">сельского поселения Эртильского муниципального района Воронежской области от </w:t>
      </w:r>
      <w:r>
        <w:rPr>
          <w:rFonts w:ascii="Times New Roman" w:hAnsi="Times New Roman"/>
        </w:rPr>
        <w:t>10.03.2025 года № 15</w:t>
      </w: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24269B" w:rsidRPr="0024269B" w:rsidRDefault="0024269B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2426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369"/>
        <w:gridCol w:w="2637"/>
        <w:gridCol w:w="1989"/>
      </w:tblGrid>
      <w:tr w:rsidR="0024269B" w:rsidRPr="0024269B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0"/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№ п/п</w:t>
            </w:r>
          </w:p>
          <w:p w:rsidR="0024269B" w:rsidRPr="0024269B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должностное лицо,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ответственное за реализацию</w:t>
            </w:r>
          </w:p>
        </w:tc>
      </w:tr>
      <w:tr w:rsidR="0024269B" w:rsidRPr="0024269B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24269B" w:rsidRPr="0024269B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24269B" w:rsidRPr="0024269B" w:rsidRDefault="0024269B" w:rsidP="0024269B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B93245" w:rsidRPr="00B93245"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="00B93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мере необходимости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B93245" w:rsidRPr="00B93245">
              <w:rPr>
                <w:rFonts w:ascii="Times New Roman" w:hAnsi="Times New Roman"/>
                <w:sz w:val="24"/>
                <w:szCs w:val="24"/>
              </w:rPr>
              <w:t>Александровского</w:t>
            </w:r>
            <w:r w:rsidR="00B93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4269B" w:rsidRPr="0024269B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24269B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возникновения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в течение всего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24269B" w:rsidRPr="0024269B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мероприятий.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24269B" w:rsidRPr="0024269B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вопросам:1) организация и осуществление муниципального контроля в сфере благоустройства;2) порядок осуществления контрольных мероприятий, установленных настоящим Положением;3) порядок обжалования действий (бездействия) должностных лиц, уполномоченных осуществлять муниципальный контроль в сфере благоустройства;4)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24269B" w:rsidRPr="0024269B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3" w:rsidRPr="0024269B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503" w:rsidRPr="0024269B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3C6503" w:rsidRPr="0024269B" w:rsidRDefault="00C80C2D" w:rsidP="00C80C2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</w:tbl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93245" w:rsidRDefault="00B93245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93245" w:rsidRDefault="00B93245" w:rsidP="00B93245">
      <w:pPr>
        <w:ind w:firstLine="0"/>
        <w:rPr>
          <w:rFonts w:ascii="Times New Roman" w:hAnsi="Times New Roman"/>
        </w:rPr>
      </w:pPr>
    </w:p>
    <w:p w:rsidR="00B93245" w:rsidRDefault="00B93245" w:rsidP="00B93245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</w:t>
      </w:r>
      <w:r w:rsidRPr="00B93245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2 </w:t>
      </w:r>
    </w:p>
    <w:p w:rsidR="00435BD5" w:rsidRPr="00B93245" w:rsidRDefault="00B93245" w:rsidP="00B93245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93245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</w:t>
      </w:r>
      <w:r w:rsidRPr="00B93245">
        <w:rPr>
          <w:rFonts w:ascii="Times New Roman" w:hAnsi="Times New Roman"/>
        </w:rPr>
        <w:t xml:space="preserve">Александровского сельского поселения Эртильского муниципального района Воронежской области от </w:t>
      </w:r>
      <w:r>
        <w:rPr>
          <w:rFonts w:ascii="Times New Roman" w:hAnsi="Times New Roman"/>
        </w:rPr>
        <w:t>10.03.2025 года № 15</w:t>
      </w: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288"/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</w:p>
    <w:p w:rsidR="003D62D3" w:rsidRP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 профилактики</w:t>
      </w:r>
    </w:p>
    <w:bookmarkEnd w:id="1"/>
    <w:p w:rsidR="003D62D3" w:rsidRPr="003F5502" w:rsidRDefault="003D62D3" w:rsidP="003D62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3D62D3" w:rsidRPr="003D62D3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№</w:t>
            </w:r>
          </w:p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3D62D3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D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D62D3" w:rsidRPr="003D62D3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</w:t>
            </w:r>
          </w:p>
        </w:tc>
      </w:tr>
      <w:tr w:rsidR="003D62D3" w:rsidRPr="003D62D3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 от числа обратившихся</w:t>
            </w:r>
          </w:p>
        </w:tc>
      </w:tr>
      <w:tr w:rsidR="003D62D3" w:rsidRPr="003D62D3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3D62D3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3D62D3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20% и более</w:t>
            </w:r>
          </w:p>
        </w:tc>
      </w:tr>
    </w:tbl>
    <w:p w:rsidR="003D62D3" w:rsidRPr="00B45849" w:rsidRDefault="003D62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EED" w:rsidRDefault="00356EED" w:rsidP="00575454">
      <w:r>
        <w:separator/>
      </w:r>
    </w:p>
  </w:endnote>
  <w:endnote w:type="continuationSeparator" w:id="1">
    <w:p w:rsidR="00356EED" w:rsidRDefault="00356EED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EED" w:rsidRDefault="00356EED" w:rsidP="00575454">
      <w:r>
        <w:separator/>
      </w:r>
    </w:p>
  </w:footnote>
  <w:footnote w:type="continuationSeparator" w:id="1">
    <w:p w:rsidR="00356EED" w:rsidRDefault="00356EED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2B585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93245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0DD3"/>
    <w:rsid w:val="000F0E0E"/>
    <w:rsid w:val="000F2EFE"/>
    <w:rsid w:val="00107A00"/>
    <w:rsid w:val="001C3DCB"/>
    <w:rsid w:val="00202734"/>
    <w:rsid w:val="00202E2C"/>
    <w:rsid w:val="0022322B"/>
    <w:rsid w:val="0024269B"/>
    <w:rsid w:val="0027752D"/>
    <w:rsid w:val="00290B75"/>
    <w:rsid w:val="002B5858"/>
    <w:rsid w:val="002E205F"/>
    <w:rsid w:val="00356EED"/>
    <w:rsid w:val="00357C4C"/>
    <w:rsid w:val="00365C59"/>
    <w:rsid w:val="0038478A"/>
    <w:rsid w:val="003C6503"/>
    <w:rsid w:val="003D62D3"/>
    <w:rsid w:val="003D6594"/>
    <w:rsid w:val="003F5D8E"/>
    <w:rsid w:val="00402B9F"/>
    <w:rsid w:val="00435BD5"/>
    <w:rsid w:val="00437AE6"/>
    <w:rsid w:val="00460894"/>
    <w:rsid w:val="004723BF"/>
    <w:rsid w:val="0047565B"/>
    <w:rsid w:val="004A7CF9"/>
    <w:rsid w:val="004C130B"/>
    <w:rsid w:val="004F312E"/>
    <w:rsid w:val="005310A6"/>
    <w:rsid w:val="00536034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934D7"/>
    <w:rsid w:val="009A2915"/>
    <w:rsid w:val="009F6909"/>
    <w:rsid w:val="00A50544"/>
    <w:rsid w:val="00A87601"/>
    <w:rsid w:val="00A90477"/>
    <w:rsid w:val="00B17303"/>
    <w:rsid w:val="00B512B4"/>
    <w:rsid w:val="00B5709E"/>
    <w:rsid w:val="00B93245"/>
    <w:rsid w:val="00B93D8C"/>
    <w:rsid w:val="00B94120"/>
    <w:rsid w:val="00BB20DB"/>
    <w:rsid w:val="00BB5DAA"/>
    <w:rsid w:val="00C2351B"/>
    <w:rsid w:val="00C80C2D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2025-03-12T06:15:00Z</dcterms:created>
  <dcterms:modified xsi:type="dcterms:W3CDTF">2025-03-12T06:15:00Z</dcterms:modified>
</cp:coreProperties>
</file>